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A9" w:rsidRPr="006977A9" w:rsidRDefault="006977A9" w:rsidP="006977A9">
      <w:pPr>
        <w:spacing w:line="100" w:lineRule="atLeast"/>
        <w:ind w:left="1416" w:firstLine="4396"/>
        <w:jc w:val="right"/>
        <w:rPr>
          <w:rFonts w:ascii="Calibri" w:eastAsia="Times New Roman" w:hAnsi="Calibri" w:cs="Arial"/>
          <w:b/>
          <w:sz w:val="22"/>
          <w:szCs w:val="22"/>
          <w:lang w:val="pl-PL"/>
        </w:rPr>
      </w:pPr>
      <w:r w:rsidRPr="0064706F">
        <w:rPr>
          <w:rFonts w:ascii="Calibri" w:eastAsia="Times New Roman" w:hAnsi="Calibri" w:cs="Arial"/>
          <w:b/>
          <w:sz w:val="22"/>
          <w:szCs w:val="22"/>
        </w:rPr>
        <w:t>ZAŁĄCZNIK A do Formularza Oferty</w:t>
      </w:r>
      <w:r>
        <w:rPr>
          <w:rFonts w:ascii="Calibri" w:eastAsia="Times New Roman" w:hAnsi="Calibri" w:cs="Arial"/>
          <w:b/>
          <w:sz w:val="22"/>
          <w:szCs w:val="22"/>
          <w:lang w:val="pl-PL"/>
        </w:rPr>
        <w:t xml:space="preserve"> </w:t>
      </w:r>
      <w:r w:rsidRPr="006977A9">
        <w:rPr>
          <w:rFonts w:ascii="Calibri" w:eastAsia="Times New Roman" w:hAnsi="Calibri" w:cs="Arial"/>
          <w:b/>
          <w:color w:val="FF0000"/>
          <w:sz w:val="22"/>
          <w:szCs w:val="22"/>
          <w:lang w:val="pl-PL"/>
        </w:rPr>
        <w:t xml:space="preserve">- po zmianach z dnia 22.02.2017r. </w:t>
      </w:r>
    </w:p>
    <w:p w:rsidR="006977A9" w:rsidRPr="0064706F" w:rsidRDefault="006977A9" w:rsidP="006977A9">
      <w:pPr>
        <w:spacing w:line="100" w:lineRule="atLeast"/>
        <w:jc w:val="center"/>
        <w:rPr>
          <w:sz w:val="22"/>
          <w:szCs w:val="22"/>
        </w:rPr>
      </w:pPr>
    </w:p>
    <w:p w:rsidR="006977A9" w:rsidRPr="0064706F" w:rsidRDefault="006977A9" w:rsidP="006977A9">
      <w:pPr>
        <w:spacing w:line="100" w:lineRule="atLeast"/>
        <w:jc w:val="center"/>
        <w:rPr>
          <w:sz w:val="22"/>
          <w:szCs w:val="22"/>
        </w:rPr>
      </w:pPr>
    </w:p>
    <w:p w:rsidR="006977A9" w:rsidRPr="0064706F" w:rsidRDefault="006977A9" w:rsidP="006977A9">
      <w:pPr>
        <w:widowControl/>
        <w:suppressAutoHyphens w:val="0"/>
        <w:spacing w:line="254" w:lineRule="auto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4706F">
        <w:rPr>
          <w:rFonts w:ascii="Calibri" w:eastAsia="Calibri" w:hAnsi="Calibri" w:cs="Calibri"/>
          <w:b/>
          <w:sz w:val="22"/>
          <w:szCs w:val="22"/>
          <w:lang w:val="pl-PL"/>
        </w:rPr>
        <w:t>Parametry  techniczne i warunki  wymagane</w:t>
      </w:r>
    </w:p>
    <w:p w:rsidR="006977A9" w:rsidRDefault="006977A9" w:rsidP="006977A9">
      <w:pPr>
        <w:widowControl/>
        <w:suppressAutoHyphens w:val="0"/>
        <w:spacing w:line="254" w:lineRule="auto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4706F">
        <w:rPr>
          <w:rFonts w:ascii="Calibri" w:eastAsia="Calibri" w:hAnsi="Calibri" w:cs="Calibri"/>
          <w:b/>
          <w:bCs/>
          <w:sz w:val="22"/>
          <w:szCs w:val="22"/>
          <w:lang w:val="pl-PL"/>
        </w:rPr>
        <w:t>Inkubatora CO</w:t>
      </w:r>
      <w:r w:rsidRPr="0064706F">
        <w:rPr>
          <w:rFonts w:ascii="Calibri" w:eastAsia="Calibri" w:hAnsi="Calibri" w:cs="Calibri"/>
          <w:b/>
          <w:bCs/>
          <w:sz w:val="22"/>
          <w:szCs w:val="22"/>
          <w:vertAlign w:val="subscript"/>
          <w:lang w:val="pl-PL"/>
        </w:rPr>
        <w:t>2</w:t>
      </w:r>
      <w:r w:rsidRPr="0064706F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i O</w:t>
      </w:r>
      <w:r w:rsidRPr="0064706F">
        <w:rPr>
          <w:rFonts w:ascii="Calibri" w:eastAsia="Calibri" w:hAnsi="Calibri" w:cs="Calibri"/>
          <w:b/>
          <w:bCs/>
          <w:sz w:val="22"/>
          <w:szCs w:val="22"/>
          <w:vertAlign w:val="subscript"/>
          <w:lang w:val="pl-PL"/>
        </w:rPr>
        <w:t>2</w:t>
      </w:r>
      <w:r w:rsidRPr="0064706F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</w:t>
      </w:r>
    </w:p>
    <w:p w:rsidR="006977A9" w:rsidRPr="0064706F" w:rsidRDefault="006977A9" w:rsidP="006977A9">
      <w:pPr>
        <w:widowControl/>
        <w:suppressAutoHyphens w:val="0"/>
        <w:spacing w:line="254" w:lineRule="auto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6977A9" w:rsidRPr="0064706F" w:rsidRDefault="006977A9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4706F">
        <w:rPr>
          <w:rFonts w:ascii="Calibri" w:eastAsia="Calibri" w:hAnsi="Calibri" w:cs="Calibri"/>
          <w:b/>
          <w:sz w:val="22"/>
          <w:szCs w:val="22"/>
          <w:lang w:val="pl-PL"/>
        </w:rPr>
        <w:t>Pełna nazwa  urządzenia /typ/model/ : ...........................................................................................................</w:t>
      </w:r>
    </w:p>
    <w:p w:rsidR="006977A9" w:rsidRPr="0064706F" w:rsidRDefault="006977A9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4706F">
        <w:rPr>
          <w:rFonts w:ascii="Calibri" w:eastAsia="Calibri" w:hAnsi="Calibri" w:cs="Calibri"/>
          <w:b/>
          <w:sz w:val="22"/>
          <w:szCs w:val="22"/>
          <w:lang w:val="pl-PL"/>
        </w:rPr>
        <w:t>Producent / kraj : ............................................................................................................................................</w:t>
      </w:r>
    </w:p>
    <w:p w:rsidR="006977A9" w:rsidRPr="0064706F" w:rsidRDefault="006977A9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4706F">
        <w:rPr>
          <w:rFonts w:ascii="Calibri" w:eastAsia="Calibri" w:hAnsi="Calibri" w:cs="Calibri"/>
          <w:b/>
          <w:sz w:val="22"/>
          <w:szCs w:val="22"/>
          <w:lang w:val="pl-PL"/>
        </w:rPr>
        <w:t>Rok produkcji : ................................................................................................................................................</w:t>
      </w:r>
    </w:p>
    <w:p w:rsidR="00E345CD" w:rsidRDefault="00E345CD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E345CD" w:rsidRDefault="00E345CD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6977A9" w:rsidRPr="0064706F" w:rsidRDefault="006977A9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  <w:bookmarkStart w:id="0" w:name="_GoBack"/>
      <w:bookmarkEnd w:id="0"/>
      <w:r w:rsidRPr="0064706F">
        <w:rPr>
          <w:rFonts w:ascii="Calibri" w:eastAsia="Calibri" w:hAnsi="Calibri" w:cs="Calibri"/>
          <w:b/>
          <w:sz w:val="22"/>
          <w:szCs w:val="22"/>
          <w:lang w:val="pl-PL"/>
        </w:rPr>
        <w:t>1)</w:t>
      </w:r>
    </w:p>
    <w:tbl>
      <w:tblPr>
        <w:tblW w:w="925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77"/>
        <w:gridCol w:w="2836"/>
      </w:tblGrid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Parametry i warunki wymagane: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  <w:t>Opis parametrów i warunków oferowanych  Wypełnia Wykonawca (w sposób jednoznaczny)</w:t>
            </w:r>
            <w:r w:rsidRPr="0064706F" w:rsidDel="00DF0AD1"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  <w:t>3</w:t>
            </w: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Pojemność robocza komory 160-171 litrów (proszę podać).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Maksymalne wymiary zewnętrzne (szer.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x głęb. x wys.) 690 x 880 x </w:t>
            </w:r>
            <w:r w:rsidRPr="006977A9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val="pl-PL"/>
              </w:rPr>
              <w:t>910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mm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Maksymalne wymiary wewnętrzne (szer. x głęb. x wys.) 550 x 523 x 700 mm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Ogrzewanie płaszczem powietrznym.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Drzwi zewnętrzne pełne, drzwi wewnętrzne z dodatkowymi czterema parami niezależnie otwieranych drzwi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Wnętrze i półki wykonane: ze stopu stali nierdzewnej i bakteriobójczej miedzi lub bakteriobójczej miedzi* umożliwiające ciągłą dekontaminację bez konieczności wstrzymywania pracy inkubatora</w:t>
            </w:r>
          </w:p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  <w:lang w:val="pl-PL"/>
              </w:rPr>
              <w:t>* - proszę podać rodzaj materiału wykonania wnętrza i półek inkubatora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W wyposażeniu 4 półki.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Mikroprocesorowy sterownik.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Wyświetlacz typu LCD lub WVGA*. </w:t>
            </w:r>
          </w:p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  <w:lang w:val="pl-PL"/>
              </w:rPr>
              <w:t xml:space="preserve">* - proszę podać typ wyświetlacza. 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Zakres regulacji temperatury nie gorszy niż: +5ºC od temperatury otoczenia do +50ºC (podziałka 0,1ºC).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Stabilność temperatury ±0,1ºC.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Jednorodność rozkładu temperatury nie gorszy niż: ±0,3ºC (temp. 37ºC, temp. otoczenia 25ºC).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Zakres regulacji stężenia CO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pl-PL"/>
              </w:rPr>
              <w:t>2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nie gorszy niż: od 0,2% do 20% (podziałka 0, 1ºC).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Pomiar stężenia CO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pl-PL"/>
              </w:rPr>
              <w:t>2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na zasadzie spektrofotometrii w podczerwieni za pomocą  czujnika.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Zakres regulacji O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pl-PL"/>
              </w:rPr>
              <w:t>2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nie gorszy niż: 1-18%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Pomiar stężenia O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pl-PL"/>
              </w:rPr>
              <w:t>2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przy pomocy czujnika.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Wilgotność 95% ±5%.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Min. 1 filtr mikrobiologiczny o zdolności filtrującej 99,97% dla cząsteczek o wielkości 0,3 mikrona.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Wbudowane alarmy: odchylenia temperatury, odchylenia stężenia CO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pl-PL"/>
              </w:rPr>
              <w:t>2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i O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pl-PL"/>
              </w:rPr>
              <w:t>2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, uchylenia drzwi.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Niezależne zabezpieczenie przed przegrzaniem.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Rejestracja parametrów pracy z funkcją bezpośredniego transferu danych na nośnik podpięty do portu USB.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Urządzenie wyposażone w 2 dwustopniowe reduktory: O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pl-PL"/>
              </w:rPr>
              <w:t>2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i O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pl-PL"/>
              </w:rPr>
              <w:t>2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/N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pl-PL"/>
              </w:rPr>
              <w:t>2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  <w:tr w:rsidR="006977A9" w:rsidRPr="0064706F" w:rsidTr="004A757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40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1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5877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Inkubator wyposażony w port typu RS232. </w:t>
            </w:r>
          </w:p>
        </w:tc>
        <w:tc>
          <w:tcPr>
            <w:tcW w:w="2836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1"/>
                <w:szCs w:val="21"/>
                <w:lang w:val="pl-PL"/>
              </w:rPr>
            </w:pPr>
          </w:p>
        </w:tc>
      </w:tr>
    </w:tbl>
    <w:p w:rsidR="00E345CD" w:rsidRDefault="00E345CD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6977A9" w:rsidRPr="0064706F" w:rsidRDefault="006977A9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4706F">
        <w:rPr>
          <w:rFonts w:ascii="Calibri" w:eastAsia="Calibri" w:hAnsi="Calibri" w:cs="Calibri"/>
          <w:b/>
          <w:sz w:val="22"/>
          <w:szCs w:val="22"/>
          <w:lang w:val="pl-PL"/>
        </w:rPr>
        <w:t>Wykonawca wypełnia kolumnę 3 tabeli, opisując parametry techniczne oraz warunki oferowanego urządzenia. Niespełnienie przez oferowane urządzenie któregokolwiek parametru technicznego lub warunku skutkować będzie odrzuceniem oferty.</w:t>
      </w:r>
    </w:p>
    <w:p w:rsidR="006977A9" w:rsidRPr="0064706F" w:rsidRDefault="006977A9" w:rsidP="006977A9">
      <w:pPr>
        <w:widowControl/>
        <w:suppressAutoHyphens w:val="0"/>
        <w:spacing w:after="160"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4706F">
        <w:rPr>
          <w:rFonts w:ascii="Calibri" w:eastAsia="Calibri" w:hAnsi="Calibri" w:cs="Calibri"/>
          <w:b/>
          <w:sz w:val="22"/>
          <w:szCs w:val="22"/>
          <w:lang w:val="pl-PL"/>
        </w:rPr>
        <w:t>Zamawiający dopuszcza urządzenie o parametrach lep</w:t>
      </w:r>
      <w:r>
        <w:rPr>
          <w:rFonts w:ascii="Calibri" w:eastAsia="Calibri" w:hAnsi="Calibri" w:cs="Calibri"/>
          <w:b/>
          <w:sz w:val="22"/>
          <w:szCs w:val="22"/>
          <w:lang w:val="pl-PL"/>
        </w:rPr>
        <w:t>szych niż przedstawione w SIWZ</w:t>
      </w:r>
    </w:p>
    <w:p w:rsidR="006977A9" w:rsidRDefault="006977A9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6977A9" w:rsidRDefault="006977A9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6977A9" w:rsidRDefault="006977A9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E345CD" w:rsidRDefault="00E345CD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E345CD" w:rsidRDefault="00E345CD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E345CD" w:rsidRDefault="00E345CD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E345CD" w:rsidRDefault="00E345CD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</w:p>
    <w:p w:rsidR="006977A9" w:rsidRPr="0064706F" w:rsidRDefault="006977A9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4706F">
        <w:rPr>
          <w:rFonts w:ascii="Calibri" w:eastAsia="Calibri" w:hAnsi="Calibri" w:cs="Calibri"/>
          <w:b/>
          <w:sz w:val="22"/>
          <w:szCs w:val="22"/>
          <w:lang w:val="pl-PL"/>
        </w:rPr>
        <w:t>2)</w:t>
      </w:r>
    </w:p>
    <w:tbl>
      <w:tblPr>
        <w:tblW w:w="9958" w:type="dxa"/>
        <w:jc w:val="center"/>
        <w:tblInd w:w="2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265"/>
        <w:gridCol w:w="3543"/>
        <w:gridCol w:w="1315"/>
      </w:tblGrid>
      <w:tr w:rsidR="006977A9" w:rsidRPr="0064706F" w:rsidTr="004A7570">
        <w:trPr>
          <w:trHeight w:val="760"/>
          <w:jc w:val="center"/>
        </w:trPr>
        <w:tc>
          <w:tcPr>
            <w:tcW w:w="835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265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Warunki i parametry techniczne  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pl-PL"/>
              </w:rPr>
              <w:t>DODATKOWO PUNKTOWANE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3543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Warunek oferowany</w:t>
            </w:r>
          </w:p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Wypełnia Wykonawca (w sposób jednoznaczny)</w:t>
            </w:r>
          </w:p>
        </w:tc>
        <w:tc>
          <w:tcPr>
            <w:tcW w:w="1315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Sposób oceny:</w:t>
            </w:r>
          </w:p>
        </w:tc>
      </w:tr>
      <w:tr w:rsidR="006977A9" w:rsidRPr="0064706F" w:rsidTr="004A7570">
        <w:trPr>
          <w:trHeight w:val="240"/>
          <w:jc w:val="center"/>
        </w:trPr>
        <w:tc>
          <w:tcPr>
            <w:tcW w:w="835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4265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543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315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4</w:t>
            </w:r>
          </w:p>
        </w:tc>
      </w:tr>
      <w:tr w:rsidR="006977A9" w:rsidRPr="0064706F" w:rsidTr="004A7570">
        <w:trPr>
          <w:trHeight w:val="122"/>
          <w:jc w:val="center"/>
        </w:trPr>
        <w:tc>
          <w:tcPr>
            <w:tcW w:w="835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2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4265" w:type="dxa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Jednorodność rozkładu temperatury ±0,25ºC (temp. 37ºC, temp. otoczenia 25ºC)</w:t>
            </w:r>
          </w:p>
        </w:tc>
        <w:tc>
          <w:tcPr>
            <w:tcW w:w="3543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315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TAK –5 pkt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.</w:t>
            </w:r>
          </w:p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NIE – 0 pkt.</w:t>
            </w:r>
          </w:p>
        </w:tc>
      </w:tr>
      <w:tr w:rsidR="006977A9" w:rsidRPr="0064706F" w:rsidTr="004A7570">
        <w:trPr>
          <w:trHeight w:val="109"/>
          <w:jc w:val="center"/>
        </w:trPr>
        <w:tc>
          <w:tcPr>
            <w:tcW w:w="835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2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4265" w:type="dxa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Zakres regulacji stężenia CO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pl-PL"/>
              </w:rPr>
              <w:t>2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od 0% do 20% (podziałka 0, 1ºC)</w:t>
            </w:r>
          </w:p>
        </w:tc>
        <w:tc>
          <w:tcPr>
            <w:tcW w:w="3543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315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TAK – 5 pkt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.</w:t>
            </w:r>
          </w:p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NIE – 0 pkt.</w:t>
            </w:r>
          </w:p>
        </w:tc>
      </w:tr>
      <w:tr w:rsidR="006977A9" w:rsidRPr="0064706F" w:rsidTr="004A7570">
        <w:trPr>
          <w:trHeight w:val="562"/>
          <w:jc w:val="center"/>
        </w:trPr>
        <w:tc>
          <w:tcPr>
            <w:tcW w:w="835" w:type="dxa"/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2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4265" w:type="dxa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Pomiar stężenia CO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  <w:lang w:val="pl-PL"/>
              </w:rPr>
              <w:t>2</w:t>
            </w: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na zasadzie spektrofotometrii w podczerwieni za pomocą 2 czujników.</w:t>
            </w:r>
          </w:p>
        </w:tc>
        <w:tc>
          <w:tcPr>
            <w:tcW w:w="3543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315" w:type="dxa"/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TAK – 5 pkt</w:t>
            </w:r>
          </w:p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NIE – 0 pkt.</w:t>
            </w:r>
          </w:p>
        </w:tc>
      </w:tr>
      <w:tr w:rsidR="006977A9" w:rsidRPr="0064706F" w:rsidTr="004A7570">
        <w:trPr>
          <w:trHeight w:val="225"/>
          <w:jc w:val="center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2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Elektryczny zamek drzwi z blokadą dostępu za pomocą hasła.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TAK – 5 pkt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.</w:t>
            </w:r>
          </w:p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NIE – 0 pkt.</w:t>
            </w:r>
          </w:p>
        </w:tc>
      </w:tr>
      <w:tr w:rsidR="006977A9" w:rsidRPr="0064706F" w:rsidTr="004A7570">
        <w:trPr>
          <w:trHeight w:val="563"/>
          <w:jc w:val="center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2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3 filtry mikrobiologiczne o zdolności filtrującej 99,97% dla cząsteczek o wielkości 0,3 mikrona.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TAK –5 pkt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.</w:t>
            </w:r>
          </w:p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NIE – 0 pkt.</w:t>
            </w:r>
          </w:p>
        </w:tc>
      </w:tr>
      <w:tr w:rsidR="006977A9" w:rsidRPr="0064706F" w:rsidTr="004A7570">
        <w:trPr>
          <w:trHeight w:val="135"/>
          <w:jc w:val="center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2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Sterylizacja wody w kuwecie oraz powietrza w komorze za pomocą lampy UV.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TAK –20 pkt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.</w:t>
            </w:r>
          </w:p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NIE – 0 pkt.</w:t>
            </w:r>
          </w:p>
        </w:tc>
      </w:tr>
      <w:tr w:rsidR="006977A9" w:rsidRPr="0064706F" w:rsidTr="004A7570">
        <w:trPr>
          <w:trHeight w:val="1245"/>
          <w:jc w:val="center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2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Konieczność wyposażenia inkubatora w zintegrowany, programowany z poziomu panelu sterowania, fabryczny system sterylizacji powietrza w komorze i wody w kuwecie, promieniami UV 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TAK – 20 pkt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.</w:t>
            </w:r>
          </w:p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NIE – 0 pkt.</w:t>
            </w:r>
          </w:p>
        </w:tc>
      </w:tr>
      <w:tr w:rsidR="006977A9" w:rsidRPr="0064706F" w:rsidTr="004A7570">
        <w:trPr>
          <w:trHeight w:val="288"/>
          <w:jc w:val="center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2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Wbudowany alarm: awarii lampy UV.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TAK –10 pkt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.</w:t>
            </w:r>
          </w:p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NIE – 0 pkt.</w:t>
            </w:r>
          </w:p>
        </w:tc>
      </w:tr>
      <w:tr w:rsidR="006977A9" w:rsidRPr="0064706F" w:rsidTr="004A7570">
        <w:trPr>
          <w:trHeight w:val="255"/>
          <w:jc w:val="center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numPr>
                <w:ilvl w:val="0"/>
                <w:numId w:val="2"/>
              </w:numPr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Wbudowany system kompleksowej dekontaminacji wnętrza oparami nadtlenku wodoru.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TAK – 25 pkt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.</w:t>
            </w:r>
          </w:p>
          <w:p w:rsidR="006977A9" w:rsidRPr="0064706F" w:rsidRDefault="006977A9" w:rsidP="004A7570">
            <w:pPr>
              <w:widowControl/>
              <w:suppressAutoHyphens w:val="0"/>
              <w:spacing w:after="160" w:line="254" w:lineRule="auto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4706F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NIE – 0 pkt.</w:t>
            </w:r>
          </w:p>
        </w:tc>
      </w:tr>
    </w:tbl>
    <w:p w:rsidR="006977A9" w:rsidRPr="0064706F" w:rsidRDefault="006977A9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4706F">
        <w:rPr>
          <w:rFonts w:ascii="Calibri" w:eastAsia="Calibri" w:hAnsi="Calibri" w:cs="Calibri"/>
          <w:b/>
          <w:sz w:val="22"/>
          <w:szCs w:val="22"/>
          <w:lang w:val="pl-PL"/>
        </w:rPr>
        <w:t>Wykonawca zobowiązany jest do podania parametru w jednostkach wskazanych w kolumnie 2.</w:t>
      </w:r>
    </w:p>
    <w:p w:rsidR="006977A9" w:rsidRPr="0064706F" w:rsidRDefault="006977A9" w:rsidP="006977A9">
      <w:pPr>
        <w:widowControl/>
        <w:suppressAutoHyphens w:val="0"/>
        <w:spacing w:line="254" w:lineRule="auto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4706F">
        <w:rPr>
          <w:rFonts w:ascii="Calibri" w:eastAsia="Calibri" w:hAnsi="Calibri" w:cs="Calibri"/>
          <w:b/>
          <w:sz w:val="22"/>
          <w:szCs w:val="22"/>
          <w:lang w:val="pl-PL"/>
        </w:rPr>
        <w:t>Zamawiający dopuszcza urządzenie o parametrach lepszych niż przedstawione w SIWZ.</w:t>
      </w:r>
    </w:p>
    <w:p w:rsidR="0067489D" w:rsidRPr="006977A9" w:rsidRDefault="0067489D">
      <w:pPr>
        <w:rPr>
          <w:lang w:val="pl-PL"/>
        </w:rPr>
      </w:pPr>
    </w:p>
    <w:sectPr w:rsidR="0067489D" w:rsidRPr="006977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CD" w:rsidRDefault="00E345CD" w:rsidP="00E345CD">
      <w:r>
        <w:separator/>
      </w:r>
    </w:p>
  </w:endnote>
  <w:endnote w:type="continuationSeparator" w:id="0">
    <w:p w:rsidR="00E345CD" w:rsidRDefault="00E345CD" w:rsidP="00E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CD" w:rsidRDefault="00E345CD" w:rsidP="00E345CD">
      <w:r>
        <w:separator/>
      </w:r>
    </w:p>
  </w:footnote>
  <w:footnote w:type="continuationSeparator" w:id="0">
    <w:p w:rsidR="00E345CD" w:rsidRDefault="00E345CD" w:rsidP="00E3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D" w:rsidRPr="00A96F79" w:rsidRDefault="00E345CD" w:rsidP="00E345CD">
    <w:pPr>
      <w:widowControl/>
      <w:tabs>
        <w:tab w:val="center" w:pos="4536"/>
        <w:tab w:val="right" w:pos="9072"/>
      </w:tabs>
      <w:suppressAutoHyphens w:val="0"/>
      <w:rPr>
        <w:rFonts w:ascii="Tahoma" w:eastAsia="Calibri" w:hAnsi="Tahoma" w:cs="Tahoma"/>
        <w:b/>
        <w:kern w:val="0"/>
        <w:sz w:val="16"/>
        <w:szCs w:val="16"/>
        <w:lang w:val="pl-PL" w:eastAsia="en-US"/>
      </w:rPr>
    </w:pPr>
  </w:p>
  <w:p w:rsidR="00E345CD" w:rsidRPr="00A96F79" w:rsidRDefault="00E345CD" w:rsidP="00E345CD">
    <w:pPr>
      <w:widowControl/>
      <w:tabs>
        <w:tab w:val="center" w:pos="4536"/>
        <w:tab w:val="right" w:pos="9072"/>
      </w:tabs>
      <w:suppressAutoHyphens w:val="0"/>
      <w:rPr>
        <w:rFonts w:ascii="Tahoma" w:eastAsia="Calibri" w:hAnsi="Tahoma" w:cs="Tahoma"/>
        <w:b/>
        <w:kern w:val="0"/>
        <w:sz w:val="16"/>
        <w:szCs w:val="16"/>
        <w:lang w:val="pl-PL" w:eastAsia="en-US"/>
      </w:rPr>
    </w:pPr>
  </w:p>
  <w:p w:rsidR="00E345CD" w:rsidRPr="00A96F79" w:rsidRDefault="00E345CD" w:rsidP="00E345CD">
    <w:pPr>
      <w:tabs>
        <w:tab w:val="center" w:pos="4111"/>
        <w:tab w:val="center" w:pos="4536"/>
        <w:tab w:val="right" w:pos="9072"/>
        <w:tab w:val="right" w:pos="10915"/>
      </w:tabs>
      <w:spacing w:line="100" w:lineRule="atLeast"/>
      <w:ind w:right="68"/>
      <w:jc w:val="both"/>
      <w:rPr>
        <w:rFonts w:ascii="Calibri" w:eastAsia="Calibri" w:hAnsi="Calibri" w:cs="Calibri"/>
        <w:i/>
        <w:sz w:val="16"/>
        <w:szCs w:val="16"/>
        <w:lang w:val="pl-PL" w:eastAsia="ar-SA"/>
      </w:rPr>
    </w:pPr>
    <w:r>
      <w:rPr>
        <w:rFonts w:eastAsia="Times New Roman"/>
        <w:noProof/>
        <w:sz w:val="16"/>
        <w:szCs w:val="16"/>
        <w:lang w:val="pl-PL" w:eastAsia="pl-PL"/>
      </w:rPr>
      <w:drawing>
        <wp:inline distT="0" distB="0" distL="0" distR="0">
          <wp:extent cx="179070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A96F79">
      <w:rPr>
        <w:rFonts w:ascii="Calibri" w:eastAsia="Calibri" w:hAnsi="Calibri" w:cs="Calibri"/>
        <w:sz w:val="16"/>
        <w:szCs w:val="16"/>
        <w:lang w:val="pl-PL" w:eastAsia="ar-SA"/>
      </w:rPr>
      <w:t xml:space="preserve">                       </w:t>
    </w:r>
    <w:r>
      <w:rPr>
        <w:rFonts w:eastAsia="Times New Roman"/>
        <w:noProof/>
        <w:sz w:val="16"/>
        <w:szCs w:val="16"/>
        <w:lang w:val="pl-PL" w:eastAsia="pl-PL"/>
      </w:rPr>
      <w:drawing>
        <wp:inline distT="0" distB="0" distL="0" distR="0">
          <wp:extent cx="15240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A96F79">
      <w:rPr>
        <w:rFonts w:ascii="Calibri" w:eastAsia="Calibri" w:hAnsi="Calibri" w:cs="Calibri"/>
        <w:sz w:val="16"/>
        <w:szCs w:val="16"/>
        <w:lang w:val="pl-PL" w:eastAsia="ar-SA"/>
      </w:rPr>
      <w:t xml:space="preserve">                                             </w:t>
    </w:r>
    <w:r>
      <w:rPr>
        <w:rFonts w:ascii="Calibri" w:eastAsia="Calibri" w:hAnsi="Calibri"/>
        <w:noProof/>
        <w:kern w:val="0"/>
        <w:sz w:val="16"/>
        <w:szCs w:val="16"/>
        <w:lang w:val="pl-PL"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4893945</wp:posOffset>
          </wp:positionH>
          <wp:positionV relativeFrom="paragraph">
            <wp:posOffset>-39370</wp:posOffset>
          </wp:positionV>
          <wp:extent cx="1016635" cy="671195"/>
          <wp:effectExtent l="0" t="0" r="0" b="0"/>
          <wp:wrapTight wrapText="bothSides">
            <wp:wrapPolygon edited="0">
              <wp:start x="0" y="0"/>
              <wp:lineTo x="0" y="20844"/>
              <wp:lineTo x="21047" y="20844"/>
              <wp:lineTo x="2104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5CD" w:rsidRPr="00A96F79" w:rsidRDefault="00E345CD" w:rsidP="00E345CD">
    <w:pPr>
      <w:tabs>
        <w:tab w:val="left" w:pos="2835"/>
        <w:tab w:val="left" w:pos="3119"/>
        <w:tab w:val="center" w:pos="4536"/>
        <w:tab w:val="right" w:pos="9072"/>
        <w:tab w:val="right" w:pos="10915"/>
      </w:tabs>
      <w:spacing w:line="100" w:lineRule="atLeast"/>
      <w:ind w:right="68"/>
      <w:jc w:val="center"/>
      <w:rPr>
        <w:rFonts w:ascii="Calibri" w:eastAsia="Calibri" w:hAnsi="Calibri" w:cs="Calibri"/>
        <w:i/>
        <w:sz w:val="16"/>
        <w:szCs w:val="16"/>
        <w:lang w:val="pl-PL" w:eastAsia="ar-SA"/>
      </w:rPr>
    </w:pPr>
    <w:r w:rsidRPr="00A96F79">
      <w:rPr>
        <w:rFonts w:ascii="Calibri" w:eastAsia="Calibri" w:hAnsi="Calibri" w:cs="Calibri"/>
        <w:i/>
        <w:sz w:val="16"/>
        <w:szCs w:val="16"/>
        <w:lang w:val="pl-PL" w:eastAsia="ar-SA"/>
      </w:rPr>
      <w:t xml:space="preserve">Umowa nr: STRATEGMED2/265761/10/NCBR/2015 </w:t>
    </w:r>
  </w:p>
  <w:p w:rsidR="00E345CD" w:rsidRDefault="00E345CD" w:rsidP="00E345CD">
    <w:pPr>
      <w:tabs>
        <w:tab w:val="center" w:pos="4536"/>
        <w:tab w:val="right" w:pos="9072"/>
        <w:tab w:val="right" w:pos="10915"/>
      </w:tabs>
      <w:spacing w:line="100" w:lineRule="atLeast"/>
      <w:ind w:right="68"/>
      <w:jc w:val="center"/>
      <w:rPr>
        <w:rFonts w:ascii="Calibri" w:eastAsia="Calibri" w:hAnsi="Calibri" w:cs="Calibri"/>
        <w:i/>
        <w:sz w:val="16"/>
        <w:szCs w:val="16"/>
        <w:lang w:val="pl-PL" w:eastAsia="ar-SA"/>
      </w:rPr>
    </w:pPr>
    <w:r w:rsidRPr="00A96F79">
      <w:rPr>
        <w:rFonts w:ascii="Calibri" w:eastAsia="Calibri" w:hAnsi="Calibri" w:cs="Calibri"/>
        <w:i/>
        <w:sz w:val="16"/>
        <w:szCs w:val="16"/>
        <w:lang w:val="pl-PL" w:eastAsia="ar-SA"/>
      </w:rPr>
      <w:t>„Regeneracja uszkodzeń niedokrwiennych układu sercowo-naczyniowego z wykorzystaniem Galarety Whartona jako nieograniczonego źródła terapeutycznego komórek macierzystych” Akronim CIRCULATE</w:t>
    </w:r>
  </w:p>
  <w:p w:rsidR="00E345CD" w:rsidRDefault="00E345CD" w:rsidP="00E345CD">
    <w:pPr>
      <w:tabs>
        <w:tab w:val="center" w:pos="4536"/>
        <w:tab w:val="right" w:pos="9072"/>
        <w:tab w:val="right" w:pos="10915"/>
      </w:tabs>
      <w:spacing w:line="100" w:lineRule="atLeast"/>
      <w:ind w:right="68"/>
      <w:jc w:val="center"/>
      <w:rPr>
        <w:rFonts w:ascii="Calibri" w:eastAsia="Calibri" w:hAnsi="Calibri" w:cs="Calibri"/>
        <w:i/>
        <w:sz w:val="16"/>
        <w:szCs w:val="16"/>
        <w:lang w:val="pl-PL" w:eastAsia="ar-SA"/>
      </w:rPr>
    </w:pPr>
  </w:p>
  <w:p w:rsidR="00E345CD" w:rsidRPr="00635517" w:rsidRDefault="00E345CD" w:rsidP="00E345CD">
    <w:pPr>
      <w:tabs>
        <w:tab w:val="center" w:pos="4536"/>
        <w:tab w:val="right" w:pos="9072"/>
        <w:tab w:val="right" w:pos="10915"/>
      </w:tabs>
      <w:spacing w:line="100" w:lineRule="atLeast"/>
      <w:ind w:right="68"/>
      <w:rPr>
        <w:rFonts w:ascii="Tahoma" w:eastAsia="Calibri" w:hAnsi="Tahoma" w:cs="Tahoma"/>
        <w:sz w:val="16"/>
        <w:szCs w:val="16"/>
        <w:lang w:val="pl-PL" w:eastAsia="ar-SA"/>
      </w:rPr>
    </w:pPr>
    <w:r w:rsidRPr="00635517">
      <w:rPr>
        <w:rFonts w:ascii="Calibri" w:eastAsia="Calibri" w:hAnsi="Calibri" w:cs="Calibri"/>
        <w:sz w:val="16"/>
        <w:szCs w:val="16"/>
        <w:lang w:val="pl-PL" w:eastAsia="ar-SA"/>
      </w:rPr>
      <w:t>Sprawa znak: 141.2715.2.2017</w:t>
    </w:r>
  </w:p>
  <w:p w:rsidR="00E345CD" w:rsidRDefault="00E34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6C55"/>
    <w:multiLevelType w:val="hybridMultilevel"/>
    <w:tmpl w:val="7FFA1404"/>
    <w:lvl w:ilvl="0" w:tplc="625495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42E62"/>
    <w:multiLevelType w:val="hybridMultilevel"/>
    <w:tmpl w:val="28049880"/>
    <w:lvl w:ilvl="0" w:tplc="E69C849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F7"/>
    <w:rsid w:val="0067489D"/>
    <w:rsid w:val="006977A9"/>
    <w:rsid w:val="00981732"/>
    <w:rsid w:val="00C375F7"/>
    <w:rsid w:val="00E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A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5C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E34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5C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CD"/>
    <w:rPr>
      <w:rFonts w:ascii="Tahoma" w:eastAsia="Andale Sans UI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A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5C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E34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5C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CD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Łapczyńska Urszula</dc:creator>
  <cp:lastModifiedBy>Łapczyńska Urszula</cp:lastModifiedBy>
  <cp:revision>2</cp:revision>
  <cp:lastPrinted>2017-02-22T10:17:00Z</cp:lastPrinted>
  <dcterms:created xsi:type="dcterms:W3CDTF">2017-02-22T10:27:00Z</dcterms:created>
  <dcterms:modified xsi:type="dcterms:W3CDTF">2017-02-22T10:27:00Z</dcterms:modified>
</cp:coreProperties>
</file>